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035" w:rsidRDefault="00C54A01">
      <w:pPr>
        <w:spacing w:after="0" w:line="216" w:lineRule="auto"/>
        <w:ind w:left="2107" w:hanging="1022"/>
        <w:jc w:val="left"/>
      </w:pPr>
      <w:r>
        <w:rPr>
          <w:sz w:val="38"/>
        </w:rPr>
        <w:t>MAJELIS PENDIDIKAN DASAR DAN MENENGAH PIMPINAN PUSAT MUHAMMADIYAH</w:t>
      </w:r>
    </w:p>
    <w:p w:rsidR="00DE1035" w:rsidRDefault="00C54A01">
      <w:pPr>
        <w:spacing w:after="0" w:line="259" w:lineRule="auto"/>
        <w:ind w:left="1570"/>
        <w:jc w:val="left"/>
      </w:pPr>
      <w:r>
        <w:rPr>
          <w:sz w:val="22"/>
        </w:rPr>
        <w:t>JI. Menteng Raya No. 62 Jakarta Pusat 10340 Telepon/Fax. 021-3903023, 22392100</w:t>
      </w:r>
    </w:p>
    <w:p w:rsidR="00DE1035" w:rsidRDefault="00C54A01">
      <w:pPr>
        <w:spacing w:after="94" w:line="259" w:lineRule="auto"/>
        <w:ind w:left="1473"/>
        <w:jc w:val="left"/>
      </w:pPr>
      <w:r>
        <w:rPr>
          <w:sz w:val="22"/>
        </w:rPr>
        <w:t>E-mail : majelisdikdasmenppm@yahoo.com, Website : dikdasmen.muhammadiyah.or.id</w:t>
      </w:r>
    </w:p>
    <w:tbl>
      <w:tblPr>
        <w:tblStyle w:val="TableGrid"/>
        <w:tblW w:w="8990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468"/>
        <w:gridCol w:w="3072"/>
      </w:tblGrid>
      <w:tr w:rsidR="00DE1035">
        <w:trPr>
          <w:trHeight w:val="256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0" w:firstLine="0"/>
              <w:jc w:val="left"/>
            </w:pPr>
            <w:r>
              <w:t>Nomor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0" w:firstLine="0"/>
              <w:jc w:val="left"/>
            </w:pPr>
            <w:r>
              <w:t>• 46 /1.4/F/2020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0" w:right="34" w:firstLine="0"/>
              <w:jc w:val="right"/>
            </w:pPr>
            <w:r>
              <w:t xml:space="preserve">Jakarta, </w:t>
            </w:r>
            <w:r>
              <w:rPr>
                <w:u w:val="single" w:color="000000"/>
              </w:rPr>
              <w:t>20 Rajab 1441 H</w:t>
            </w:r>
          </w:p>
        </w:tc>
      </w:tr>
      <w:tr w:rsidR="00DE1035">
        <w:trPr>
          <w:trHeight w:val="3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10" w:firstLine="0"/>
              <w:jc w:val="left"/>
            </w:pPr>
            <w:r>
              <w:t>Lamp.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35" w:rsidRDefault="00C54A01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336" cy="76222"/>
                  <wp:effectExtent l="0" t="0" r="0" b="0"/>
                  <wp:docPr id="7440" name="Picture 7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0" name="Picture 7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7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0" w:firstLine="0"/>
              <w:jc w:val="right"/>
            </w:pPr>
            <w:r>
              <w:t>15 Maret 2020 M</w:t>
            </w:r>
          </w:p>
        </w:tc>
      </w:tr>
      <w:tr w:rsidR="00DE1035">
        <w:trPr>
          <w:trHeight w:val="28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10" w:firstLine="0"/>
              <w:jc w:val="left"/>
            </w:pPr>
            <w:r>
              <w:t>Perihal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C54A01">
            <w:pPr>
              <w:spacing w:after="0" w:line="259" w:lineRule="auto"/>
              <w:ind w:left="115" w:firstLine="0"/>
              <w:jc w:val="left"/>
            </w:pPr>
            <w:r>
              <w:rPr>
                <w:sz w:val="28"/>
              </w:rPr>
              <w:t>Edaran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DE1035" w:rsidRDefault="00DE103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E1035" w:rsidRDefault="00C54A01">
      <w:pPr>
        <w:spacing w:after="30"/>
        <w:ind w:right="273"/>
      </w:pPr>
      <w:r>
        <w:t>Kepada Yth.</w:t>
      </w:r>
    </w:p>
    <w:p w:rsidR="00DE1035" w:rsidRDefault="00C54A01">
      <w:pPr>
        <w:numPr>
          <w:ilvl w:val="0"/>
          <w:numId w:val="1"/>
        </w:numPr>
        <w:spacing w:after="0" w:line="259" w:lineRule="auto"/>
        <w:ind w:right="355" w:hanging="283"/>
        <w:jc w:val="left"/>
      </w:pPr>
      <w:r>
        <w:rPr>
          <w:sz w:val="26"/>
        </w:rPr>
        <w:t>Majelis Dikdasmen PWM</w:t>
      </w:r>
    </w:p>
    <w:p w:rsidR="00DE1035" w:rsidRDefault="00C54A01">
      <w:pPr>
        <w:numPr>
          <w:ilvl w:val="0"/>
          <w:numId w:val="1"/>
        </w:numPr>
        <w:spacing w:after="88" w:line="259" w:lineRule="auto"/>
        <w:ind w:right="355" w:hanging="283"/>
        <w:jc w:val="left"/>
      </w:pPr>
      <w:r>
        <w:rPr>
          <w:sz w:val="26"/>
        </w:rPr>
        <w:t>Majelis Dikdasmen PDM</w:t>
      </w:r>
    </w:p>
    <w:p w:rsidR="00DE1035" w:rsidRDefault="00C54A01">
      <w:pPr>
        <w:spacing w:after="593"/>
        <w:ind w:right="273"/>
      </w:pPr>
      <w:r>
        <w:t>Di - Seluruh Indonesia</w:t>
      </w:r>
      <w:bookmarkStart w:id="0" w:name="_GoBack"/>
      <w:bookmarkEnd w:id="0"/>
    </w:p>
    <w:p w:rsidR="00DE1035" w:rsidRDefault="00C54A01">
      <w:pPr>
        <w:spacing w:after="114"/>
        <w:ind w:right="273"/>
      </w:pPr>
      <w:r>
        <w:t>Assalamu 'alaikum wr. wb.</w:t>
      </w:r>
    </w:p>
    <w:p w:rsidR="00DE1035" w:rsidRDefault="00C54A01">
      <w:pPr>
        <w:spacing w:after="67" w:line="322" w:lineRule="auto"/>
        <w:ind w:right="273"/>
      </w:pPr>
      <w:r>
        <w:t>Teriring salam dan do'a semoga kita semua senantiasa tetap dalam lindungan Allah SWT. serta sukses dalam mengemban amanah persyarikatan ini, Amiin.</w:t>
      </w:r>
    </w:p>
    <w:p w:rsidR="00DE1035" w:rsidRDefault="00C54A01">
      <w:pPr>
        <w:spacing w:after="41"/>
        <w:ind w:right="273"/>
      </w:pPr>
      <w:r>
        <w:t>Menindak lanjuti Siaran Pers Presiden RI di Istana Bogor ta</w:t>
      </w:r>
      <w:r>
        <w:t>nggal 13 Maret 2020, yang memerintahkan agar Kepala Daerah membuat kebijakan supaya pelajar dan mahasiswa melakukan proses belajar di rumah, Surat Edaran Menteri Pendidikan dan kebudayaan RI nomor 3 tahun 2020 tanggal 9 Maret 2020 tentang pencegahan terhad</w:t>
      </w:r>
      <w:r>
        <w:t>ap perkembangan dan penyebaran Corona Virus Disease (Covid-19), dan Maklumat Pimpinan Pusat Muhammadiyah nomor</w:t>
      </w:r>
    </w:p>
    <w:p w:rsidR="00DE1035" w:rsidRDefault="00C54A01">
      <w:pPr>
        <w:spacing w:after="181"/>
        <w:ind w:right="273"/>
      </w:pPr>
      <w:r>
        <w:t>02/MLM/1.O/H/2020 tentang Wabah Coronavirus Disease 2019 (Covid-19). Oleh karena itu Majelis Pendidikan Dasar dan Menengah (DIKDASMEN) Pimpinan Pusat Muhammadiyah menyampaikan hal-hal sebagai berikut:</w:t>
      </w:r>
    </w:p>
    <w:p w:rsidR="00DE1035" w:rsidRDefault="00C54A01">
      <w:pPr>
        <w:numPr>
          <w:ilvl w:val="0"/>
          <w:numId w:val="2"/>
        </w:numPr>
        <w:spacing w:after="124"/>
        <w:ind w:right="273" w:hanging="278"/>
      </w:pPr>
      <w:r>
        <w:t>Untuk mengantisipasi penyebaran Covid-19 yang semakin m</w:t>
      </w:r>
      <w:r>
        <w:t>eluas diberbagai daerah di Indonesia, maka Majelis DIKDASMEN Pimpinan Pusat Muhammadiyah menghimbau kepada seluruh Sekolah, Madrasah, dan Pesantren Muhammadiyah untuk meliburkan kegiatan belajar mengajar dengan mengikuti kebijakan pemerintah daerah setempa</w:t>
      </w:r>
      <w:r>
        <w:t>t.</w:t>
      </w:r>
    </w:p>
    <w:p w:rsidR="00DE1035" w:rsidRDefault="00C54A01">
      <w:pPr>
        <w:numPr>
          <w:ilvl w:val="0"/>
          <w:numId w:val="2"/>
        </w:numPr>
        <w:spacing w:after="101"/>
        <w:ind w:right="273" w:hanging="278"/>
      </w:pPr>
      <w:r>
        <w:t>Kegiatan belajar mengajar di Sekolah, Madrasah, dan Pesantren di lingkungan Muhammadiyah dapat diselenggarakan di rumah masing-masing dengan model pembelajaran jarak jauh menggunakan metode pembelajaran daring/online atau sesuai dengan kemampuan dan kon</w:t>
      </w:r>
      <w:r>
        <w:t>disi sekolah.</w:t>
      </w:r>
    </w:p>
    <w:p w:rsidR="00DE1035" w:rsidRDefault="00C54A01">
      <w:pPr>
        <w:numPr>
          <w:ilvl w:val="0"/>
          <w:numId w:val="2"/>
        </w:numPr>
        <w:spacing w:after="76"/>
        <w:ind w:right="273" w:hanging="278"/>
      </w:pPr>
      <w:r>
        <w:t>Proses pembelajaran jarak jauh dihimbau menggunakan layanan Edukasi Digital Muhammadiyah (EduMu) yang di kembangkan oleh Majelis DIKDASMEN Pimpinan Pusat Muhammadiyah secara GRATIS sampai situasi kondusif. Sekolah cukup melakukan registrasi m</w:t>
      </w:r>
      <w:r>
        <w:t xml:space="preserve">elalui alamat berikut : </w:t>
      </w:r>
      <w:r>
        <w:rPr>
          <w:u w:val="single" w:color="000000"/>
        </w:rPr>
        <w:t>http:.&gt;edumu.id registrasi. html</w:t>
      </w:r>
      <w:r>
        <w:t>.</w:t>
      </w:r>
    </w:p>
    <w:p w:rsidR="00DE1035" w:rsidRDefault="00C54A01">
      <w:pPr>
        <w:numPr>
          <w:ilvl w:val="0"/>
          <w:numId w:val="2"/>
        </w:numPr>
        <w:ind w:right="273" w:hanging="278"/>
      </w:pPr>
      <w:r>
        <w:t>Selama pelaksanaan belajar mandiri sebagaimana tersebut di atas, kegiatan studi tour, kemah, prakerin, maupun kegiatan yang sebelumnya dijadwalkan di luar lingkungan sekolah ditiadakan, dan para sis</w:t>
      </w:r>
      <w:r>
        <w:t>wa diminta untuk :</w:t>
      </w:r>
    </w:p>
    <w:p w:rsidR="00DE1035" w:rsidRDefault="00C54A01">
      <w:pPr>
        <w:numPr>
          <w:ilvl w:val="1"/>
          <w:numId w:val="2"/>
        </w:numPr>
        <w:ind w:right="273" w:hanging="283"/>
      </w:pPr>
      <w:r>
        <w:t>tidak melakukan perjalanan keluar wilayah tempat tinggalnya;</w:t>
      </w:r>
    </w:p>
    <w:p w:rsidR="00DE1035" w:rsidRDefault="00C54A01">
      <w:pPr>
        <w:numPr>
          <w:ilvl w:val="1"/>
          <w:numId w:val="2"/>
        </w:numPr>
        <w:ind w:right="273" w:hanging="283"/>
      </w:pPr>
      <w:r>
        <w:t>melakukan social distancing (menjagajarak) dan menjauhi kerumunan;</w:t>
      </w:r>
    </w:p>
    <w:p w:rsidR="00DE1035" w:rsidRDefault="00C54A01">
      <w:pPr>
        <w:numPr>
          <w:ilvl w:val="1"/>
          <w:numId w:val="2"/>
        </w:numPr>
        <w:ind w:right="273" w:hanging="283"/>
      </w:pPr>
      <w:r>
        <w:t>menjaga pola hidup bersih dan sehat;</w:t>
      </w:r>
    </w:p>
    <w:p w:rsidR="00DE1035" w:rsidRDefault="00C54A01">
      <w:pPr>
        <w:numPr>
          <w:ilvl w:val="1"/>
          <w:numId w:val="2"/>
        </w:numPr>
        <w:ind w:right="273" w:hanging="283"/>
      </w:pPr>
      <w:r>
        <w:lastRenderedPageBreak/>
        <w:t>terus melakukan pemantauan kesehatan sebagaimana yang dianjurkan.</w:t>
      </w:r>
    </w:p>
    <w:p w:rsidR="00DE1035" w:rsidRDefault="00C54A01">
      <w:pPr>
        <w:numPr>
          <w:ilvl w:val="1"/>
          <w:numId w:val="2"/>
        </w:numPr>
        <w:spacing w:after="78"/>
        <w:ind w:right="273" w:hanging="283"/>
      </w:pPr>
      <w:r>
        <w:t>Mengik</w:t>
      </w:r>
      <w:r>
        <w:t>uti petunjuk pencegahan COVID-19 sebagaimana Surat Edaran Menteri Pendidikan Dan Kebudayaan RI Nomor 3 Tahun 2020 tentang Pencegahan Corona Virus Disease (COVID-19) Pada Satuan Pendidikan.</w:t>
      </w:r>
    </w:p>
    <w:p w:rsidR="00DE1035" w:rsidRDefault="00C54A01">
      <w:pPr>
        <w:numPr>
          <w:ilvl w:val="0"/>
          <w:numId w:val="2"/>
        </w:numPr>
        <w:spacing w:after="96"/>
        <w:ind w:right="273" w:hanging="278"/>
      </w:pPr>
      <w:r>
        <w:t>Sekolah, Madrasah dan Pesantren Muhammadiyah agar meningkatkan kebi</w:t>
      </w:r>
      <w:r>
        <w:t>asaan pola hidup sehat dengan menjaga kebersihan pribadi dan lingkungan serta mengikuti protokol pencegahan Covid-19 yang dikeluarkan oleh pemerintah.</w:t>
      </w:r>
    </w:p>
    <w:p w:rsidR="00DE1035" w:rsidRDefault="00C54A01">
      <w:pPr>
        <w:numPr>
          <w:ilvl w:val="0"/>
          <w:numId w:val="2"/>
        </w:numPr>
        <w:ind w:right="273" w:hanging="278"/>
      </w:pPr>
      <w:r>
        <w:t>Pimpinan dan Tenaga Pendidik di lingkungan Sekolah, Madrasah, dan Pesantren Muhammadiyah melakukan hal-ha</w:t>
      </w:r>
      <w:r>
        <w:t>l sebagai berikut:</w:t>
      </w:r>
    </w:p>
    <w:p w:rsidR="00DE1035" w:rsidRDefault="00C54A01">
      <w:pPr>
        <w:numPr>
          <w:ilvl w:val="1"/>
          <w:numId w:val="2"/>
        </w:numPr>
        <w:ind w:right="273" w:hanging="283"/>
      </w:pPr>
      <w:r>
        <w:t>Koordinasi dengan Dinas Kesehatan setempat untuk mengetahui rencana atau kesiapan daerah setempat dalam menghadapi COVID-19.</w:t>
      </w:r>
    </w:p>
    <w:p w:rsidR="00DE1035" w:rsidRDefault="00C54A01">
      <w:pPr>
        <w:numPr>
          <w:ilvl w:val="1"/>
          <w:numId w:val="2"/>
        </w:numPr>
        <w:ind w:right="273" w:hanging="283"/>
      </w:pPr>
      <w:r>
        <w:t xml:space="preserve">Menyediakan sarana untuk cuci tangan menggunakan air dan sabun atau pencuci tangan berbasis alkohol di berbagai </w:t>
      </w:r>
      <w:r>
        <w:t>lokasi strategis sesuai dengan jumlah yang dibutuhkan. Jika dimungkinkan sekolah menyediakan alat untuk mengukur suhu tubuh.</w:t>
      </w:r>
    </w:p>
    <w:p w:rsidR="00DE1035" w:rsidRDefault="00C54A01">
      <w:pPr>
        <w:numPr>
          <w:ilvl w:val="1"/>
          <w:numId w:val="2"/>
        </w:numPr>
        <w:spacing w:after="106"/>
        <w:ind w:right="273" w:hanging="283"/>
      </w:pPr>
      <w:r>
        <w:t>Menginstruksikan kepada warga sekolah, madrasah dan pesantren melakukan cuci tangan menggunakan air dan sabun atau hand sanitizer d</w:t>
      </w:r>
      <w:r>
        <w:t>an perilaku hidup bersih sehat (PHBS) lainnya seperti: makan jajanan sehat, menggunakan jamban bersih dan sehat, Olahraga yang teratur, tidur yang cukup, tidak merokok, membuang sampah pada tempatnya.</w:t>
      </w:r>
    </w:p>
    <w:p w:rsidR="00DE1035" w:rsidRDefault="00C54A01">
      <w:pPr>
        <w:numPr>
          <w:ilvl w:val="0"/>
          <w:numId w:val="2"/>
        </w:numPr>
        <w:spacing w:after="106"/>
        <w:ind w:right="273" w:hanging="278"/>
      </w:pPr>
      <w:r>
        <w:t>Pelaksanaan Ujian Nasional menyesuaikan arahan Dinas Pendidikan/Kantor Kementerian Agama setempat.</w:t>
      </w:r>
    </w:p>
    <w:p w:rsidR="00DE1035" w:rsidRDefault="00C54A01">
      <w:pPr>
        <w:numPr>
          <w:ilvl w:val="0"/>
          <w:numId w:val="2"/>
        </w:numPr>
        <w:spacing w:after="113"/>
        <w:ind w:right="273" w:hanging="278"/>
      </w:pPr>
      <w:r>
        <w:t>Menghimbau kepada Majelis Dikdasmen PWM dan PDM untuk memantau pelaksanaan edaran ini sesuai kewenangannya.</w:t>
      </w:r>
    </w:p>
    <w:p w:rsidR="00DE1035" w:rsidRDefault="00C54A01">
      <w:pPr>
        <w:spacing w:after="347"/>
        <w:ind w:right="273"/>
      </w:pPr>
      <w:r>
        <w:t>Atas perhatian dan kerjasama yang baik kami ucapk</w:t>
      </w:r>
      <w:r>
        <w:t>an terima kasih.</w:t>
      </w:r>
    </w:p>
    <w:p w:rsidR="00DE1035" w:rsidRDefault="00C54A01">
      <w:pPr>
        <w:ind w:left="2933" w:right="27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2667001</wp:posOffset>
                </wp:positionH>
                <wp:positionV relativeFrom="paragraph">
                  <wp:posOffset>-121954</wp:posOffset>
                </wp:positionV>
                <wp:extent cx="3163824" cy="1314065"/>
                <wp:effectExtent l="0" t="0" r="0" b="0"/>
                <wp:wrapSquare wrapText="bothSides"/>
                <wp:docPr id="6932" name="Group 6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824" cy="1314065"/>
                          <a:chOff x="0" y="0"/>
                          <a:chExt cx="3163824" cy="1314065"/>
                        </a:xfrm>
                      </wpg:grpSpPr>
                      <pic:pic xmlns:pic="http://schemas.openxmlformats.org/drawingml/2006/picture">
                        <pic:nvPicPr>
                          <pic:cNvPr id="7442" name="Picture 7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314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3" name="Rectangle 2733"/>
                        <wps:cNvSpPr/>
                        <wps:spPr>
                          <a:xfrm>
                            <a:off x="2331720" y="1149426"/>
                            <a:ext cx="689152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035" w:rsidRDefault="00C54A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MoPhil,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2849880" y="1149426"/>
                            <a:ext cx="417546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035" w:rsidRDefault="00C54A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Ph.D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32" style="width:249.12pt;height:103.47pt;position:absolute;mso-position-horizontal-relative:text;mso-position-horizontal:absolute;margin-left:210pt;mso-position-vertical-relative:text;margin-top:-9.60278pt;" coordsize="31638,13140">
                <v:shape id="Picture 7442" style="position:absolute;width:27889;height:13140;left:0;top:0;" filled="f">
                  <v:imagedata r:id="rId7"/>
                </v:shape>
                <v:rect id="Rectangle 2733" style="position:absolute;width:6891;height:2068;left:23317;top:11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MoPhil, </w:t>
                        </w:r>
                      </w:p>
                    </w:txbxContent>
                  </v:textbox>
                </v:rect>
                <v:rect id="Rectangle 2734" style="position:absolute;width:4175;height:1986;left:28498;top:11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Ph.D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Wassalamu 'alaiku</w:t>
      </w:r>
    </w:p>
    <w:p w:rsidR="00DE1035" w:rsidRDefault="00C54A01">
      <w:pPr>
        <w:spacing w:after="1006"/>
        <w:ind w:left="1820" w:right="355"/>
      </w:pPr>
      <w:r>
        <w:t>Ketua</w:t>
      </w:r>
    </w:p>
    <w:p w:rsidR="00DE1035" w:rsidRDefault="00C54A01">
      <w:pPr>
        <w:spacing w:after="0" w:line="259" w:lineRule="auto"/>
        <w:ind w:left="744" w:right="355"/>
        <w:jc w:val="left"/>
      </w:pPr>
      <w:r>
        <w:rPr>
          <w:sz w:val="26"/>
        </w:rPr>
        <w:t>Prof. r. H. Baedhowi, M.Si</w:t>
      </w:r>
    </w:p>
    <w:p w:rsidR="00DE1035" w:rsidRDefault="00C54A01">
      <w:pPr>
        <w:tabs>
          <w:tab w:val="center" w:pos="2143"/>
          <w:tab w:val="center" w:pos="6790"/>
        </w:tabs>
        <w:spacing w:after="174"/>
        <w:ind w:left="0" w:firstLine="0"/>
        <w:jc w:val="left"/>
      </w:pPr>
      <w:r>
        <w:tab/>
        <w:t>NBM : 1.093.179</w:t>
      </w:r>
      <w:r>
        <w:tab/>
        <w:t>NBM : 829.228</w:t>
      </w:r>
    </w:p>
    <w:p w:rsidR="00DE1035" w:rsidRDefault="00C54A01">
      <w:pPr>
        <w:spacing w:after="3" w:line="259" w:lineRule="auto"/>
        <w:ind w:left="33"/>
        <w:jc w:val="left"/>
      </w:pPr>
      <w:r>
        <w:rPr>
          <w:sz w:val="20"/>
        </w:rPr>
        <w:t>Tembusan .</w:t>
      </w:r>
      <w:r>
        <w:rPr>
          <w:noProof/>
        </w:rPr>
        <w:drawing>
          <wp:inline distT="0" distB="0" distL="0" distR="0">
            <wp:extent cx="6096" cy="18293"/>
            <wp:effectExtent l="0" t="0" r="0" b="0"/>
            <wp:docPr id="3896" name="Picture 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" name="Picture 38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35" w:rsidRDefault="00C54A01">
      <w:pPr>
        <w:spacing w:after="3" w:line="259" w:lineRule="auto"/>
        <w:ind w:left="33"/>
        <w:jc w:val="left"/>
      </w:pPr>
      <w:r>
        <w:rPr>
          <w:sz w:val="20"/>
        </w:rPr>
        <w:t>l. PP Muhammadiyah Kantor Jakarta/Youakarta</w:t>
      </w:r>
    </w:p>
    <w:p w:rsidR="00DE1035" w:rsidRDefault="00C54A01">
      <w:pPr>
        <w:spacing w:after="3" w:line="259" w:lineRule="auto"/>
        <w:ind w:left="33"/>
        <w:jc w:val="left"/>
      </w:pPr>
      <w:r>
        <w:rPr>
          <w:sz w:val="20"/>
        </w:rPr>
        <w:t>2. Pertinggal</w:t>
      </w:r>
    </w:p>
    <w:sectPr w:rsidR="00DE1035">
      <w:pgSz w:w="11779" w:h="16718"/>
      <w:pgMar w:top="883" w:right="893" w:bottom="1558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639"/>
    <w:multiLevelType w:val="hybridMultilevel"/>
    <w:tmpl w:val="FFFFFFFF"/>
    <w:lvl w:ilvl="0" w:tplc="1C404BB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A7C2C">
      <w:start w:val="1"/>
      <w:numFmt w:val="lowerLetter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EAAA9E">
      <w:start w:val="1"/>
      <w:numFmt w:val="lowerRoman"/>
      <w:lvlText w:val="%3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585B3C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B054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ECFA54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C05AE6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F8C0F4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F04866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319EE"/>
    <w:multiLevelType w:val="hybridMultilevel"/>
    <w:tmpl w:val="FFFFFFFF"/>
    <w:lvl w:ilvl="0" w:tplc="F0DE0842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2CA5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814E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0A5A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0E0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4A10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8AC2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AE3D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C74D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5"/>
    <w:rsid w:val="00C54A01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F134F33-2B64-6C4B-9D51-5FBA7F21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3" Type="http://schemas.openxmlformats.org/officeDocument/2006/relationships/settings" Target="settings.xml" /><Relationship Id="rId7" Type="http://schemas.openxmlformats.org/officeDocument/2006/relationships/image" Target="media/image12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mohammadnurfatoni@gmail.com</cp:lastModifiedBy>
  <cp:revision>2</cp:revision>
  <dcterms:created xsi:type="dcterms:W3CDTF">2020-03-20T07:05:00Z</dcterms:created>
  <dcterms:modified xsi:type="dcterms:W3CDTF">2020-03-20T07:05:00Z</dcterms:modified>
</cp:coreProperties>
</file>